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AC5624" w14:textId="77777777" w:rsidR="00BA4CE6" w:rsidRDefault="00FE23BA">
      <w:r>
        <w:t>Taking context from the attached ASX Whitepaper</w:t>
      </w:r>
      <w:r w:rsidR="00C8612D">
        <w:t xml:space="preserve"> could you please provide your thoughts on the below questions where you have a view to share.  You might wish to read the relevant sections in the Whitepaper relative to the question, and I have noted the page number where the questions appear, </w:t>
      </w:r>
      <w:r w:rsidR="00BA4CE6">
        <w:t>and</w:t>
      </w:r>
      <w:r w:rsidR="00C8612D">
        <w:t xml:space="preserve"> the preceding sections will relate to the question.  Feel free to read the whole paper if you </w:t>
      </w:r>
      <w:r w:rsidR="00BA4CE6">
        <w:t>wish</w:t>
      </w:r>
      <w:r w:rsidR="00C8612D">
        <w:t>.</w:t>
      </w:r>
      <w:r w:rsidR="00BA4CE6">
        <w:t xml:space="preserve">  </w:t>
      </w:r>
    </w:p>
    <w:p w14:paraId="5212BB38" w14:textId="42626CCA" w:rsidR="00FE23BA" w:rsidRDefault="00BA4CE6">
      <w:r>
        <w:t>Note, the paper does not form a conclusion, rather a collection of inputs from an array of market participants which are a non-exhaustive list of considerations.</w:t>
      </w:r>
    </w:p>
    <w:p w14:paraId="61140925" w14:textId="77777777" w:rsidR="00FE23BA" w:rsidRDefault="00FE23BA"/>
    <w:tbl>
      <w:tblPr>
        <w:tblStyle w:val="TableGrid"/>
        <w:tblW w:w="12561" w:type="dxa"/>
        <w:tblLook w:val="04A0" w:firstRow="1" w:lastRow="0" w:firstColumn="1" w:lastColumn="0" w:noHBand="0" w:noVBand="1"/>
      </w:tblPr>
      <w:tblGrid>
        <w:gridCol w:w="1049"/>
        <w:gridCol w:w="5100"/>
        <w:gridCol w:w="6412"/>
      </w:tblGrid>
      <w:tr w:rsidR="0059791F" w14:paraId="19FB0BDF" w14:textId="260FCFCA" w:rsidTr="00BA4CE6">
        <w:tc>
          <w:tcPr>
            <w:tcW w:w="1049" w:type="dxa"/>
            <w:shd w:val="clear" w:color="auto" w:fill="C1E4F5" w:themeFill="accent1" w:themeFillTint="33"/>
          </w:tcPr>
          <w:p w14:paraId="38274094" w14:textId="77777777" w:rsidR="0059791F" w:rsidRDefault="0059791F"/>
        </w:tc>
        <w:tc>
          <w:tcPr>
            <w:tcW w:w="5100" w:type="dxa"/>
            <w:shd w:val="clear" w:color="auto" w:fill="C1E4F5" w:themeFill="accent1" w:themeFillTint="33"/>
          </w:tcPr>
          <w:p w14:paraId="54E5413C" w14:textId="44C4A9CD" w:rsidR="0059791F" w:rsidRPr="00C8612D" w:rsidRDefault="00BA4CE6">
            <w:pPr>
              <w:rPr>
                <w:b/>
                <w:bCs/>
              </w:rPr>
            </w:pPr>
            <w:r>
              <w:rPr>
                <w:b/>
                <w:bCs/>
              </w:rPr>
              <w:t>ASX Whitepaper question</w:t>
            </w:r>
          </w:p>
        </w:tc>
        <w:tc>
          <w:tcPr>
            <w:tcW w:w="6412" w:type="dxa"/>
            <w:shd w:val="clear" w:color="auto" w:fill="C1E4F5" w:themeFill="accent1" w:themeFillTint="33"/>
          </w:tcPr>
          <w:p w14:paraId="47A33B12" w14:textId="55805ADA" w:rsidR="0059791F" w:rsidRDefault="0059791F">
            <w:r>
              <w:t>Response</w:t>
            </w:r>
          </w:p>
        </w:tc>
      </w:tr>
      <w:tr w:rsidR="0059791F" w14:paraId="3CC4A4B3" w14:textId="5C1DEE57" w:rsidTr="0059791F">
        <w:tc>
          <w:tcPr>
            <w:tcW w:w="1049" w:type="dxa"/>
          </w:tcPr>
          <w:p w14:paraId="1F9118ED" w14:textId="77777777" w:rsidR="0059791F" w:rsidRDefault="0059791F">
            <w:r>
              <w:t>Q1</w:t>
            </w:r>
          </w:p>
          <w:p w14:paraId="77387E57" w14:textId="013C7621" w:rsidR="0059791F" w:rsidRDefault="0059791F">
            <w:r>
              <w:t>Pg 17</w:t>
            </w:r>
          </w:p>
        </w:tc>
        <w:tc>
          <w:tcPr>
            <w:tcW w:w="5100" w:type="dxa"/>
          </w:tcPr>
          <w:p w14:paraId="7D7C311B" w14:textId="1EA13CE4" w:rsidR="0059791F" w:rsidRPr="00C8612D" w:rsidRDefault="0059791F">
            <w:pPr>
              <w:rPr>
                <w:b/>
                <w:bCs/>
              </w:rPr>
            </w:pPr>
            <w:r w:rsidRPr="00C8612D">
              <w:rPr>
                <w:b/>
                <w:bCs/>
              </w:rPr>
              <w:t>Would a decision to adopt, or not adopt, T+1 settlement affect the Australian market’s international competitiveness as a destination for foreign investment?</w:t>
            </w:r>
          </w:p>
        </w:tc>
        <w:tc>
          <w:tcPr>
            <w:tcW w:w="6412" w:type="dxa"/>
          </w:tcPr>
          <w:p w14:paraId="034D606B" w14:textId="77777777" w:rsidR="0059791F" w:rsidRDefault="0059791F"/>
        </w:tc>
      </w:tr>
      <w:tr w:rsidR="0059791F" w14:paraId="636F545A" w14:textId="4A78900F" w:rsidTr="0059791F">
        <w:tc>
          <w:tcPr>
            <w:tcW w:w="1049" w:type="dxa"/>
          </w:tcPr>
          <w:p w14:paraId="25A8E14A" w14:textId="77777777" w:rsidR="0059791F" w:rsidRDefault="0059791F">
            <w:r>
              <w:t>Q2</w:t>
            </w:r>
          </w:p>
          <w:p w14:paraId="21F970A7" w14:textId="44DE01D6" w:rsidR="0059791F" w:rsidRDefault="0059791F">
            <w:r>
              <w:t>P</w:t>
            </w:r>
            <w:r w:rsidR="00BA4CE6">
              <w:t>g</w:t>
            </w:r>
            <w:r>
              <w:t>17</w:t>
            </w:r>
          </w:p>
        </w:tc>
        <w:tc>
          <w:tcPr>
            <w:tcW w:w="5100" w:type="dxa"/>
          </w:tcPr>
          <w:p w14:paraId="5EEF4848" w14:textId="545D3205" w:rsidR="0059791F" w:rsidRPr="00C8612D" w:rsidRDefault="0059791F">
            <w:pPr>
              <w:rPr>
                <w:b/>
                <w:bCs/>
              </w:rPr>
            </w:pPr>
            <w:r w:rsidRPr="00C8612D">
              <w:rPr>
                <w:b/>
                <w:bCs/>
              </w:rPr>
              <w:t>Would Australia staying on T+2 pose any restrictions on trading volumes for trading participants?</w:t>
            </w:r>
          </w:p>
        </w:tc>
        <w:tc>
          <w:tcPr>
            <w:tcW w:w="6412" w:type="dxa"/>
          </w:tcPr>
          <w:p w14:paraId="0E3B6938" w14:textId="77777777" w:rsidR="0059791F" w:rsidRDefault="0059791F"/>
        </w:tc>
      </w:tr>
      <w:tr w:rsidR="0059791F" w14:paraId="68EDEA43" w14:textId="184044B1" w:rsidTr="0059791F">
        <w:tc>
          <w:tcPr>
            <w:tcW w:w="1049" w:type="dxa"/>
          </w:tcPr>
          <w:p w14:paraId="0AB5C015" w14:textId="77777777" w:rsidR="0059791F" w:rsidRDefault="0059791F">
            <w:r>
              <w:t>Q3</w:t>
            </w:r>
          </w:p>
          <w:p w14:paraId="7AD9C656" w14:textId="59CE48D5" w:rsidR="0059791F" w:rsidRDefault="0059791F">
            <w:r>
              <w:t>Pg17</w:t>
            </w:r>
          </w:p>
        </w:tc>
        <w:tc>
          <w:tcPr>
            <w:tcW w:w="5100" w:type="dxa"/>
          </w:tcPr>
          <w:p w14:paraId="4103F403" w14:textId="14288D47" w:rsidR="0059791F" w:rsidRPr="00C8612D" w:rsidRDefault="0059791F">
            <w:pPr>
              <w:rPr>
                <w:b/>
                <w:bCs/>
              </w:rPr>
            </w:pPr>
            <w:r w:rsidRPr="00C8612D">
              <w:rPr>
                <w:b/>
                <w:bCs/>
              </w:rPr>
              <w:t>Can you quantify the likely impact to your organisation’s fail rate of a move to T+1 (for example, based on your organisation’s experience in other markets)?</w:t>
            </w:r>
          </w:p>
        </w:tc>
        <w:tc>
          <w:tcPr>
            <w:tcW w:w="6412" w:type="dxa"/>
          </w:tcPr>
          <w:p w14:paraId="7497E861" w14:textId="77777777" w:rsidR="0059791F" w:rsidRDefault="0059791F"/>
        </w:tc>
      </w:tr>
      <w:tr w:rsidR="0059791F" w14:paraId="5C58BE06" w14:textId="02BAC648" w:rsidTr="0059791F">
        <w:tc>
          <w:tcPr>
            <w:tcW w:w="1049" w:type="dxa"/>
          </w:tcPr>
          <w:p w14:paraId="6681AA71" w14:textId="77777777" w:rsidR="0059791F" w:rsidRDefault="0059791F">
            <w:r>
              <w:t>Q4</w:t>
            </w:r>
          </w:p>
          <w:p w14:paraId="406A9F48" w14:textId="1C6E605A" w:rsidR="0059791F" w:rsidRDefault="0059791F">
            <w:r>
              <w:t>Pg20</w:t>
            </w:r>
          </w:p>
        </w:tc>
        <w:tc>
          <w:tcPr>
            <w:tcW w:w="5100" w:type="dxa"/>
          </w:tcPr>
          <w:p w14:paraId="0A410D38" w14:textId="0DDDFDE5" w:rsidR="0059791F" w:rsidRPr="00C8612D" w:rsidRDefault="0059791F">
            <w:pPr>
              <w:rPr>
                <w:b/>
                <w:bCs/>
              </w:rPr>
            </w:pPr>
            <w:r w:rsidRPr="00C8612D">
              <w:rPr>
                <w:b/>
                <w:bCs/>
              </w:rPr>
              <w:t>What is the scale of investment and technology change required for your organisation to support a move to T+1 settlement, from both a cost and lead time perspective (for those organisations involved in overseas transitions would you estimate Australia to be more/less work than specific overseas markets)?</w:t>
            </w:r>
          </w:p>
        </w:tc>
        <w:tc>
          <w:tcPr>
            <w:tcW w:w="6412" w:type="dxa"/>
          </w:tcPr>
          <w:p w14:paraId="52556124" w14:textId="77777777" w:rsidR="0059791F" w:rsidRDefault="0059791F"/>
        </w:tc>
      </w:tr>
      <w:tr w:rsidR="0059791F" w14:paraId="5A69D3A0" w14:textId="307C89A2" w:rsidTr="0059791F">
        <w:tc>
          <w:tcPr>
            <w:tcW w:w="1049" w:type="dxa"/>
          </w:tcPr>
          <w:p w14:paraId="2F72C0A6" w14:textId="77777777" w:rsidR="0059791F" w:rsidRDefault="0059791F">
            <w:r>
              <w:t>Q5</w:t>
            </w:r>
          </w:p>
          <w:p w14:paraId="636DDB47" w14:textId="76F37EBA" w:rsidR="0059791F" w:rsidRDefault="0059791F">
            <w:r>
              <w:t>Pg20</w:t>
            </w:r>
          </w:p>
        </w:tc>
        <w:tc>
          <w:tcPr>
            <w:tcW w:w="5100" w:type="dxa"/>
          </w:tcPr>
          <w:p w14:paraId="537EE44A" w14:textId="5414D84D" w:rsidR="0059791F" w:rsidRPr="00C8612D" w:rsidRDefault="0059791F">
            <w:pPr>
              <w:rPr>
                <w:b/>
                <w:bCs/>
              </w:rPr>
            </w:pPr>
            <w:r w:rsidRPr="00C8612D">
              <w:rPr>
                <w:b/>
                <w:bCs/>
              </w:rPr>
              <w:t>What technology upgrades would your organisation (and clients) need to do to support T+1?</w:t>
            </w:r>
          </w:p>
        </w:tc>
        <w:tc>
          <w:tcPr>
            <w:tcW w:w="6412" w:type="dxa"/>
          </w:tcPr>
          <w:p w14:paraId="34B8D761" w14:textId="77777777" w:rsidR="0059791F" w:rsidRDefault="0059791F"/>
        </w:tc>
      </w:tr>
      <w:tr w:rsidR="0059791F" w14:paraId="60EC89D5" w14:textId="322B81AD" w:rsidTr="0059791F">
        <w:tc>
          <w:tcPr>
            <w:tcW w:w="1049" w:type="dxa"/>
          </w:tcPr>
          <w:p w14:paraId="6E957E22" w14:textId="77777777" w:rsidR="0059791F" w:rsidRDefault="0059791F">
            <w:r>
              <w:t>Q6</w:t>
            </w:r>
          </w:p>
          <w:p w14:paraId="0341F0F6" w14:textId="3023D45C" w:rsidR="0059791F" w:rsidRDefault="0059791F">
            <w:r>
              <w:t>Pg20</w:t>
            </w:r>
          </w:p>
        </w:tc>
        <w:tc>
          <w:tcPr>
            <w:tcW w:w="5100" w:type="dxa"/>
          </w:tcPr>
          <w:p w14:paraId="28E8939E" w14:textId="604D93E5" w:rsidR="0059791F" w:rsidRPr="00C8612D" w:rsidRDefault="0059791F">
            <w:pPr>
              <w:rPr>
                <w:b/>
                <w:bCs/>
              </w:rPr>
            </w:pPr>
            <w:r w:rsidRPr="00C8612D">
              <w:rPr>
                <w:b/>
                <w:bCs/>
              </w:rPr>
              <w:t>What market-wide technology or infrastructure adoption would be needed to support a move to T+1?</w:t>
            </w:r>
          </w:p>
        </w:tc>
        <w:tc>
          <w:tcPr>
            <w:tcW w:w="6412" w:type="dxa"/>
          </w:tcPr>
          <w:p w14:paraId="4A1A90BB" w14:textId="77777777" w:rsidR="0059791F" w:rsidRDefault="0059791F"/>
        </w:tc>
      </w:tr>
      <w:tr w:rsidR="0059791F" w14:paraId="29BDFFD3" w14:textId="782F2953" w:rsidTr="0059791F">
        <w:tc>
          <w:tcPr>
            <w:tcW w:w="1049" w:type="dxa"/>
          </w:tcPr>
          <w:p w14:paraId="01718CDD" w14:textId="77777777" w:rsidR="0059791F" w:rsidRDefault="0059791F">
            <w:r>
              <w:lastRenderedPageBreak/>
              <w:t>Q7</w:t>
            </w:r>
          </w:p>
          <w:p w14:paraId="27163287" w14:textId="6EA9F1C3" w:rsidR="0059791F" w:rsidRDefault="0059791F">
            <w:r>
              <w:t>Pg20</w:t>
            </w:r>
          </w:p>
        </w:tc>
        <w:tc>
          <w:tcPr>
            <w:tcW w:w="5100" w:type="dxa"/>
          </w:tcPr>
          <w:p w14:paraId="6D70AD48" w14:textId="3846CB2D" w:rsidR="0059791F" w:rsidRPr="00C8612D" w:rsidRDefault="0059791F">
            <w:pPr>
              <w:rPr>
                <w:b/>
                <w:bCs/>
              </w:rPr>
            </w:pPr>
            <w:r w:rsidRPr="00C8612D">
              <w:rPr>
                <w:b/>
                <w:bCs/>
              </w:rPr>
              <w:t>What could impact your organisation’s capacity to move to T+1?</w:t>
            </w:r>
          </w:p>
        </w:tc>
        <w:tc>
          <w:tcPr>
            <w:tcW w:w="6412" w:type="dxa"/>
          </w:tcPr>
          <w:p w14:paraId="44515BB9" w14:textId="77777777" w:rsidR="0059791F" w:rsidRDefault="0059791F"/>
        </w:tc>
      </w:tr>
      <w:tr w:rsidR="0059791F" w14:paraId="5FA7FB8B" w14:textId="0038AABE" w:rsidTr="0059791F">
        <w:tc>
          <w:tcPr>
            <w:tcW w:w="1049" w:type="dxa"/>
          </w:tcPr>
          <w:p w14:paraId="4EB48CC0" w14:textId="77777777" w:rsidR="0059791F" w:rsidRDefault="0059791F">
            <w:r>
              <w:t>Q8</w:t>
            </w:r>
          </w:p>
          <w:p w14:paraId="4070F68D" w14:textId="5D960B79" w:rsidR="0059791F" w:rsidRDefault="00BA4CE6">
            <w:r>
              <w:t>Pg</w:t>
            </w:r>
            <w:r w:rsidR="0059791F">
              <w:t>20</w:t>
            </w:r>
          </w:p>
        </w:tc>
        <w:tc>
          <w:tcPr>
            <w:tcW w:w="5100" w:type="dxa"/>
          </w:tcPr>
          <w:p w14:paraId="790C0D54" w14:textId="4E19DDB2" w:rsidR="0059791F" w:rsidRPr="00C8612D" w:rsidRDefault="0059791F">
            <w:pPr>
              <w:rPr>
                <w:b/>
                <w:bCs/>
              </w:rPr>
            </w:pPr>
            <w:r w:rsidRPr="00C8612D">
              <w:rPr>
                <w:b/>
                <w:bCs/>
              </w:rPr>
              <w:t>To ensure all investors have time to match instructions, what options/solutions do you consider viable, or necessary, to be in place prior to any transition to T+1, such as trade matching confirmation platforms, system/ rule changes etc?</w:t>
            </w:r>
          </w:p>
        </w:tc>
        <w:tc>
          <w:tcPr>
            <w:tcW w:w="6412" w:type="dxa"/>
          </w:tcPr>
          <w:p w14:paraId="18FAE908" w14:textId="77777777" w:rsidR="0059791F" w:rsidRDefault="0059791F"/>
        </w:tc>
      </w:tr>
      <w:tr w:rsidR="0059791F" w14:paraId="260E4846" w14:textId="6CCA9F9D" w:rsidTr="0059791F">
        <w:tc>
          <w:tcPr>
            <w:tcW w:w="1049" w:type="dxa"/>
          </w:tcPr>
          <w:p w14:paraId="62851661" w14:textId="77777777" w:rsidR="0059791F" w:rsidRDefault="0059791F">
            <w:r>
              <w:t>Q9</w:t>
            </w:r>
          </w:p>
          <w:p w14:paraId="07DC24CD" w14:textId="12378FA6" w:rsidR="0059791F" w:rsidRDefault="0059791F">
            <w:r>
              <w:t>Pg22</w:t>
            </w:r>
          </w:p>
        </w:tc>
        <w:tc>
          <w:tcPr>
            <w:tcW w:w="5100" w:type="dxa"/>
          </w:tcPr>
          <w:p w14:paraId="4F3DE92E" w14:textId="3B9001E5" w:rsidR="0059791F" w:rsidRPr="00C8612D" w:rsidRDefault="0059791F">
            <w:pPr>
              <w:rPr>
                <w:b/>
                <w:bCs/>
              </w:rPr>
            </w:pPr>
            <w:r w:rsidRPr="00C8612D">
              <w:rPr>
                <w:b/>
                <w:bCs/>
              </w:rPr>
              <w:t>. From the perspective of ETF issuers which scenario best fits the needs of the Australian ETF market – Australia remains on T+2 and the US (and potentially other major global markets) operates on T+1, or Australia and the US (and potentially other major global markets) operate on T+1 – and why?</w:t>
            </w:r>
          </w:p>
        </w:tc>
        <w:tc>
          <w:tcPr>
            <w:tcW w:w="6412" w:type="dxa"/>
          </w:tcPr>
          <w:p w14:paraId="345A2BB9" w14:textId="77777777" w:rsidR="0059791F" w:rsidRDefault="0059791F"/>
        </w:tc>
      </w:tr>
      <w:tr w:rsidR="0059791F" w14:paraId="52E2792C" w14:textId="024C3499" w:rsidTr="0059791F">
        <w:tc>
          <w:tcPr>
            <w:tcW w:w="1049" w:type="dxa"/>
          </w:tcPr>
          <w:p w14:paraId="3224B301" w14:textId="77777777" w:rsidR="0059791F" w:rsidRDefault="0059791F">
            <w:r>
              <w:t>Q10</w:t>
            </w:r>
          </w:p>
          <w:p w14:paraId="7B5392CA" w14:textId="09E45E4F" w:rsidR="0059791F" w:rsidRDefault="0059791F">
            <w:r>
              <w:t>Pg22</w:t>
            </w:r>
          </w:p>
        </w:tc>
        <w:tc>
          <w:tcPr>
            <w:tcW w:w="5100" w:type="dxa"/>
          </w:tcPr>
          <w:p w14:paraId="6A050BBF" w14:textId="1FB4A175" w:rsidR="0059791F" w:rsidRPr="00C8612D" w:rsidRDefault="0059791F">
            <w:pPr>
              <w:rPr>
                <w:b/>
                <w:bCs/>
              </w:rPr>
            </w:pPr>
            <w:proofErr w:type="gramStart"/>
            <w:r w:rsidRPr="00C8612D">
              <w:rPr>
                <w:b/>
                <w:bCs/>
              </w:rPr>
              <w:t>In the event that</w:t>
            </w:r>
            <w:proofErr w:type="gramEnd"/>
            <w:r w:rsidRPr="00C8612D">
              <w:rPr>
                <w:b/>
                <w:bCs/>
              </w:rPr>
              <w:t xml:space="preserve"> Australia adopts T+1, what potential measures need to be considered to alleviate the challenges for ETF issuers?</w:t>
            </w:r>
          </w:p>
        </w:tc>
        <w:tc>
          <w:tcPr>
            <w:tcW w:w="6412" w:type="dxa"/>
          </w:tcPr>
          <w:p w14:paraId="408A83A2" w14:textId="77777777" w:rsidR="0059791F" w:rsidRDefault="0059791F"/>
        </w:tc>
      </w:tr>
      <w:tr w:rsidR="0059791F" w14:paraId="3B687438" w14:textId="1CE8C495" w:rsidTr="0059791F">
        <w:tc>
          <w:tcPr>
            <w:tcW w:w="1049" w:type="dxa"/>
          </w:tcPr>
          <w:p w14:paraId="1004FE64" w14:textId="77777777" w:rsidR="0059791F" w:rsidRDefault="0059791F">
            <w:r>
              <w:t>Q11</w:t>
            </w:r>
          </w:p>
          <w:p w14:paraId="5AE0067B" w14:textId="3A664CD5" w:rsidR="0059791F" w:rsidRDefault="0059791F">
            <w:r>
              <w:t>Pg22</w:t>
            </w:r>
          </w:p>
        </w:tc>
        <w:tc>
          <w:tcPr>
            <w:tcW w:w="5100" w:type="dxa"/>
          </w:tcPr>
          <w:p w14:paraId="26805422" w14:textId="0B1385FC" w:rsidR="0059791F" w:rsidRPr="00C8612D" w:rsidRDefault="0059791F">
            <w:pPr>
              <w:rPr>
                <w:b/>
                <w:bCs/>
              </w:rPr>
            </w:pPr>
            <w:proofErr w:type="gramStart"/>
            <w:r w:rsidRPr="00C8612D">
              <w:rPr>
                <w:b/>
                <w:bCs/>
              </w:rPr>
              <w:t>In the event that</w:t>
            </w:r>
            <w:proofErr w:type="gramEnd"/>
            <w:r w:rsidRPr="00C8612D">
              <w:rPr>
                <w:b/>
                <w:bCs/>
              </w:rPr>
              <w:t xml:space="preserve"> Australia remains on T+2, what potential measures need to be considered to alleviate the challenges for ETF issuers?</w:t>
            </w:r>
          </w:p>
        </w:tc>
        <w:tc>
          <w:tcPr>
            <w:tcW w:w="6412" w:type="dxa"/>
          </w:tcPr>
          <w:p w14:paraId="28CA53BC" w14:textId="77777777" w:rsidR="0059791F" w:rsidRDefault="0059791F"/>
        </w:tc>
      </w:tr>
      <w:tr w:rsidR="0059791F" w14:paraId="2D37AD97" w14:textId="74FB1156" w:rsidTr="0059791F">
        <w:tc>
          <w:tcPr>
            <w:tcW w:w="1049" w:type="dxa"/>
          </w:tcPr>
          <w:p w14:paraId="6AB0ABE0" w14:textId="77777777" w:rsidR="0059791F" w:rsidRDefault="0059791F">
            <w:r>
              <w:t>Q12</w:t>
            </w:r>
          </w:p>
          <w:p w14:paraId="5391D811" w14:textId="4FF46BAC" w:rsidR="0059791F" w:rsidRDefault="0059791F">
            <w:r>
              <w:t>Pg23</w:t>
            </w:r>
          </w:p>
        </w:tc>
        <w:tc>
          <w:tcPr>
            <w:tcW w:w="5100" w:type="dxa"/>
          </w:tcPr>
          <w:p w14:paraId="6E276E07" w14:textId="65631490" w:rsidR="0059791F" w:rsidRPr="00C8612D" w:rsidRDefault="0059791F">
            <w:pPr>
              <w:rPr>
                <w:b/>
                <w:bCs/>
              </w:rPr>
            </w:pPr>
            <w:r w:rsidRPr="00C8612D">
              <w:rPr>
                <w:b/>
                <w:bCs/>
              </w:rPr>
              <w:t>What changes would be required to the securities lending market to facilitate/enable a move to T+1 (e.g. centralised, regulatory changes)? Would the changes need to be in place prior to a move to T+1?</w:t>
            </w:r>
          </w:p>
        </w:tc>
        <w:tc>
          <w:tcPr>
            <w:tcW w:w="6412" w:type="dxa"/>
          </w:tcPr>
          <w:p w14:paraId="5ED4F95D" w14:textId="77777777" w:rsidR="0059791F" w:rsidRDefault="0059791F"/>
        </w:tc>
      </w:tr>
      <w:tr w:rsidR="0059791F" w14:paraId="69F2EB06" w14:textId="2B6F5EFF" w:rsidTr="0059791F">
        <w:tc>
          <w:tcPr>
            <w:tcW w:w="1049" w:type="dxa"/>
          </w:tcPr>
          <w:p w14:paraId="3FC783D5" w14:textId="77777777" w:rsidR="0059791F" w:rsidRDefault="0059791F">
            <w:r>
              <w:t>Q13</w:t>
            </w:r>
          </w:p>
          <w:p w14:paraId="2984FF7B" w14:textId="2AF68F34" w:rsidR="0059791F" w:rsidRDefault="0059791F">
            <w:r>
              <w:t>Pg24</w:t>
            </w:r>
          </w:p>
        </w:tc>
        <w:tc>
          <w:tcPr>
            <w:tcW w:w="5100" w:type="dxa"/>
          </w:tcPr>
          <w:p w14:paraId="751C2FFF" w14:textId="13BFE1B6" w:rsidR="0059791F" w:rsidRPr="00C8612D" w:rsidRDefault="0059791F">
            <w:pPr>
              <w:rPr>
                <w:b/>
                <w:bCs/>
              </w:rPr>
            </w:pPr>
            <w:r w:rsidRPr="00C8612D">
              <w:rPr>
                <w:b/>
                <w:bCs/>
              </w:rPr>
              <w:t>What are the key changes that would need to be made to the CHESS batch settlement process to facilitate T+1 settlement (including potentially moving the batch settlement in RITS to later in the day)?</w:t>
            </w:r>
          </w:p>
        </w:tc>
        <w:tc>
          <w:tcPr>
            <w:tcW w:w="6412" w:type="dxa"/>
          </w:tcPr>
          <w:p w14:paraId="6A9C19ED" w14:textId="77777777" w:rsidR="0059791F" w:rsidRDefault="0059791F"/>
        </w:tc>
      </w:tr>
      <w:tr w:rsidR="0059791F" w14:paraId="013FB2BA" w14:textId="019B8945" w:rsidTr="0059791F">
        <w:tc>
          <w:tcPr>
            <w:tcW w:w="1049" w:type="dxa"/>
          </w:tcPr>
          <w:p w14:paraId="7451DADB" w14:textId="77777777" w:rsidR="0059791F" w:rsidRDefault="0059791F">
            <w:r>
              <w:lastRenderedPageBreak/>
              <w:t>Q14</w:t>
            </w:r>
          </w:p>
          <w:p w14:paraId="245BEB2C" w14:textId="345D5E62" w:rsidR="0059791F" w:rsidRDefault="0059791F">
            <w:r>
              <w:t>Pg24</w:t>
            </w:r>
          </w:p>
        </w:tc>
        <w:tc>
          <w:tcPr>
            <w:tcW w:w="5100" w:type="dxa"/>
          </w:tcPr>
          <w:p w14:paraId="2E687DED" w14:textId="24738F6B" w:rsidR="0059791F" w:rsidRPr="00C8612D" w:rsidRDefault="0059791F">
            <w:pPr>
              <w:rPr>
                <w:b/>
                <w:bCs/>
              </w:rPr>
            </w:pPr>
            <w:r w:rsidRPr="00C8612D">
              <w:rPr>
                <w:b/>
                <w:bCs/>
              </w:rPr>
              <w:t>In the broader banking eco-system, what (if any) changes would be required to facilitate post-CHESS batch settlement processes?</w:t>
            </w:r>
          </w:p>
        </w:tc>
        <w:tc>
          <w:tcPr>
            <w:tcW w:w="6412" w:type="dxa"/>
          </w:tcPr>
          <w:p w14:paraId="46EDCC52" w14:textId="77777777" w:rsidR="0059791F" w:rsidRDefault="0059791F"/>
        </w:tc>
      </w:tr>
      <w:tr w:rsidR="0059791F" w14:paraId="42E326EC" w14:textId="2BC43EBB" w:rsidTr="0059791F">
        <w:tc>
          <w:tcPr>
            <w:tcW w:w="1049" w:type="dxa"/>
          </w:tcPr>
          <w:p w14:paraId="4E6040CC" w14:textId="77777777" w:rsidR="0059791F" w:rsidRDefault="0059791F">
            <w:r>
              <w:t>Q15</w:t>
            </w:r>
          </w:p>
          <w:p w14:paraId="10AA4BF7" w14:textId="42CB7D27" w:rsidR="0059791F" w:rsidRDefault="0059791F">
            <w:r>
              <w:t>Pg26</w:t>
            </w:r>
          </w:p>
        </w:tc>
        <w:tc>
          <w:tcPr>
            <w:tcW w:w="5100" w:type="dxa"/>
          </w:tcPr>
          <w:p w14:paraId="57CC13B8" w14:textId="48C9A574" w:rsidR="0059791F" w:rsidRPr="00C8612D" w:rsidRDefault="0059791F">
            <w:pPr>
              <w:rPr>
                <w:b/>
                <w:bCs/>
              </w:rPr>
            </w:pPr>
            <w:r w:rsidRPr="00C8612D">
              <w:rPr>
                <w:b/>
                <w:bCs/>
              </w:rPr>
              <w:t>Please provide perspectives from investors (both retail and institutional) regarding demand to move to T+1?</w:t>
            </w:r>
          </w:p>
        </w:tc>
        <w:tc>
          <w:tcPr>
            <w:tcW w:w="6412" w:type="dxa"/>
          </w:tcPr>
          <w:p w14:paraId="22A7622E" w14:textId="77777777" w:rsidR="0059791F" w:rsidRDefault="0059791F"/>
        </w:tc>
      </w:tr>
      <w:tr w:rsidR="0059791F" w14:paraId="53C0D814" w14:textId="0A6E34D0" w:rsidTr="0059791F">
        <w:tc>
          <w:tcPr>
            <w:tcW w:w="1049" w:type="dxa"/>
          </w:tcPr>
          <w:p w14:paraId="229499AF" w14:textId="77777777" w:rsidR="0059791F" w:rsidRDefault="0059791F">
            <w:r>
              <w:t>Q16</w:t>
            </w:r>
          </w:p>
          <w:p w14:paraId="2527F579" w14:textId="7D579667" w:rsidR="0059791F" w:rsidRDefault="0059791F">
            <w:r>
              <w:t>Pg26</w:t>
            </w:r>
          </w:p>
        </w:tc>
        <w:tc>
          <w:tcPr>
            <w:tcW w:w="5100" w:type="dxa"/>
          </w:tcPr>
          <w:p w14:paraId="21CADE2F" w14:textId="085002C2" w:rsidR="0059791F" w:rsidRPr="00C8612D" w:rsidRDefault="0059791F">
            <w:pPr>
              <w:rPr>
                <w:b/>
                <w:bCs/>
              </w:rPr>
            </w:pPr>
            <w:r w:rsidRPr="00C8612D">
              <w:rPr>
                <w:b/>
                <w:bCs/>
              </w:rPr>
              <w:t>Please provide information on the impacts of a move to T+1 in Australia on global investors (including investors who use intermediaries), and what pre-conditions or tools would need to be in place to support a move to T+1?</w:t>
            </w:r>
          </w:p>
        </w:tc>
        <w:tc>
          <w:tcPr>
            <w:tcW w:w="6412" w:type="dxa"/>
          </w:tcPr>
          <w:p w14:paraId="40ECC895" w14:textId="77777777" w:rsidR="0059791F" w:rsidRDefault="0059791F"/>
        </w:tc>
      </w:tr>
      <w:tr w:rsidR="0059791F" w14:paraId="225221EE" w14:textId="56D7DEBC" w:rsidTr="0059791F">
        <w:tc>
          <w:tcPr>
            <w:tcW w:w="1049" w:type="dxa"/>
          </w:tcPr>
          <w:p w14:paraId="509C4A47" w14:textId="77777777" w:rsidR="0059791F" w:rsidRDefault="0059791F">
            <w:r>
              <w:t>Q17</w:t>
            </w:r>
          </w:p>
          <w:p w14:paraId="05597683" w14:textId="051EC54F" w:rsidR="0059791F" w:rsidRDefault="0059791F">
            <w:r>
              <w:t>Pg26</w:t>
            </w:r>
          </w:p>
        </w:tc>
        <w:tc>
          <w:tcPr>
            <w:tcW w:w="5100" w:type="dxa"/>
          </w:tcPr>
          <w:p w14:paraId="0485AC64" w14:textId="3A0394BA" w:rsidR="0059791F" w:rsidRPr="00C8612D" w:rsidRDefault="0059791F">
            <w:pPr>
              <w:rPr>
                <w:b/>
                <w:bCs/>
              </w:rPr>
            </w:pPr>
            <w:r w:rsidRPr="00C8612D">
              <w:rPr>
                <w:b/>
                <w:bCs/>
              </w:rPr>
              <w:t>For investors requiring foreign exchange to fund trades, if Australia moved to T+1 would you be able to fund AUD bank accounts in time for daily settlement, and if not, what changes or solutions would be required to make this viable?</w:t>
            </w:r>
          </w:p>
        </w:tc>
        <w:tc>
          <w:tcPr>
            <w:tcW w:w="6412" w:type="dxa"/>
          </w:tcPr>
          <w:p w14:paraId="3288ADA3" w14:textId="77777777" w:rsidR="0059791F" w:rsidRDefault="0059791F"/>
        </w:tc>
      </w:tr>
      <w:tr w:rsidR="0059791F" w14:paraId="68F27F94" w14:textId="407A09CD" w:rsidTr="0059791F">
        <w:tc>
          <w:tcPr>
            <w:tcW w:w="1049" w:type="dxa"/>
          </w:tcPr>
          <w:p w14:paraId="083B7BAC" w14:textId="77777777" w:rsidR="0059791F" w:rsidRDefault="0059791F">
            <w:r>
              <w:t>Q18</w:t>
            </w:r>
          </w:p>
          <w:p w14:paraId="0955410B" w14:textId="3CC48405" w:rsidR="0059791F" w:rsidRDefault="0059791F">
            <w:r>
              <w:t>Pg27</w:t>
            </w:r>
          </w:p>
        </w:tc>
        <w:tc>
          <w:tcPr>
            <w:tcW w:w="5100" w:type="dxa"/>
          </w:tcPr>
          <w:p w14:paraId="107349A0" w14:textId="37D9F022" w:rsidR="0059791F" w:rsidRPr="00C8612D" w:rsidRDefault="0059791F">
            <w:pPr>
              <w:rPr>
                <w:b/>
                <w:bCs/>
              </w:rPr>
            </w:pPr>
            <w:r w:rsidRPr="00C8612D">
              <w:rPr>
                <w:b/>
                <w:bCs/>
              </w:rPr>
              <w:t>Please provide further information on the impacts of a move to T+1 on issuers, including changes that would be required to support issuers in a move to T+1?</w:t>
            </w:r>
          </w:p>
        </w:tc>
        <w:tc>
          <w:tcPr>
            <w:tcW w:w="6412" w:type="dxa"/>
          </w:tcPr>
          <w:p w14:paraId="24D6D12B" w14:textId="77777777" w:rsidR="0059791F" w:rsidRDefault="0059791F"/>
        </w:tc>
      </w:tr>
      <w:tr w:rsidR="0059791F" w14:paraId="13802C71" w14:textId="60233456" w:rsidTr="0059791F">
        <w:tc>
          <w:tcPr>
            <w:tcW w:w="1049" w:type="dxa"/>
          </w:tcPr>
          <w:p w14:paraId="4B7DF87B" w14:textId="77777777" w:rsidR="0059791F" w:rsidRDefault="0059791F">
            <w:r>
              <w:t>General question</w:t>
            </w:r>
          </w:p>
          <w:p w14:paraId="703DFC64" w14:textId="04730470" w:rsidR="0059791F" w:rsidRDefault="0059791F">
            <w:r>
              <w:t>Q19</w:t>
            </w:r>
          </w:p>
          <w:p w14:paraId="56CE36BA" w14:textId="13703269" w:rsidR="0059791F" w:rsidRDefault="0059791F"/>
        </w:tc>
        <w:tc>
          <w:tcPr>
            <w:tcW w:w="5100" w:type="dxa"/>
          </w:tcPr>
          <w:p w14:paraId="339DE62E" w14:textId="7F06AB88" w:rsidR="0059791F" w:rsidRPr="00C8612D" w:rsidRDefault="0059791F">
            <w:pPr>
              <w:rPr>
                <w:b/>
                <w:bCs/>
              </w:rPr>
            </w:pPr>
            <w:r w:rsidRPr="00C8612D">
              <w:rPr>
                <w:b/>
                <w:bCs/>
              </w:rPr>
              <w:t>How much lead-time would your organisation (including service providers) require before implementation if a decision was made to move to T+1 in Australia?</w:t>
            </w:r>
          </w:p>
        </w:tc>
        <w:tc>
          <w:tcPr>
            <w:tcW w:w="6412" w:type="dxa"/>
          </w:tcPr>
          <w:p w14:paraId="419BBFA7" w14:textId="77777777" w:rsidR="0059791F" w:rsidRDefault="0059791F"/>
        </w:tc>
      </w:tr>
      <w:tr w:rsidR="0059791F" w14:paraId="4F4C54F3" w14:textId="0F143F8A" w:rsidTr="0059791F">
        <w:tc>
          <w:tcPr>
            <w:tcW w:w="1049" w:type="dxa"/>
          </w:tcPr>
          <w:p w14:paraId="37D8BE24" w14:textId="6CD92D64" w:rsidR="0059791F" w:rsidRDefault="0059791F">
            <w:r>
              <w:t>General question Q20</w:t>
            </w:r>
          </w:p>
        </w:tc>
        <w:tc>
          <w:tcPr>
            <w:tcW w:w="5100" w:type="dxa"/>
          </w:tcPr>
          <w:p w14:paraId="0D4384D3" w14:textId="1BCB34B1" w:rsidR="0059791F" w:rsidRPr="00C8612D" w:rsidRDefault="0059791F">
            <w:pPr>
              <w:rPr>
                <w:b/>
                <w:bCs/>
              </w:rPr>
            </w:pPr>
            <w:r w:rsidRPr="00C8612D">
              <w:rPr>
                <w:b/>
                <w:bCs/>
              </w:rPr>
              <w:t>Is there any other feedback or information you would like to share?</w:t>
            </w:r>
          </w:p>
        </w:tc>
        <w:tc>
          <w:tcPr>
            <w:tcW w:w="6412" w:type="dxa"/>
          </w:tcPr>
          <w:p w14:paraId="16D64AC1" w14:textId="77777777" w:rsidR="0059791F" w:rsidRDefault="0059791F"/>
        </w:tc>
      </w:tr>
      <w:tr w:rsidR="0059791F" w14:paraId="754B53C1" w14:textId="35FE9BBD" w:rsidTr="0059791F">
        <w:tc>
          <w:tcPr>
            <w:tcW w:w="1049" w:type="dxa"/>
          </w:tcPr>
          <w:p w14:paraId="42D15B90" w14:textId="77777777" w:rsidR="0059791F" w:rsidRDefault="0059791F"/>
        </w:tc>
        <w:tc>
          <w:tcPr>
            <w:tcW w:w="5100" w:type="dxa"/>
          </w:tcPr>
          <w:p w14:paraId="651A9A8E" w14:textId="1103333D" w:rsidR="0059791F" w:rsidRPr="00C8612D" w:rsidRDefault="0059791F">
            <w:pPr>
              <w:rPr>
                <w:b/>
                <w:bCs/>
              </w:rPr>
            </w:pPr>
          </w:p>
        </w:tc>
        <w:tc>
          <w:tcPr>
            <w:tcW w:w="6412" w:type="dxa"/>
          </w:tcPr>
          <w:p w14:paraId="03A98266" w14:textId="77777777" w:rsidR="0059791F" w:rsidRDefault="0059791F"/>
        </w:tc>
      </w:tr>
    </w:tbl>
    <w:p w14:paraId="24D50596" w14:textId="77777777" w:rsidR="00CA57E7" w:rsidRDefault="00CA57E7"/>
    <w:sectPr w:rsidR="00CA57E7" w:rsidSect="006209A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9AC"/>
    <w:rsid w:val="000939C4"/>
    <w:rsid w:val="00554510"/>
    <w:rsid w:val="0059791F"/>
    <w:rsid w:val="006209AC"/>
    <w:rsid w:val="00BA4CE6"/>
    <w:rsid w:val="00C8612D"/>
    <w:rsid w:val="00CA57E7"/>
    <w:rsid w:val="00FE2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AC520D"/>
  <w15:chartTrackingRefBased/>
  <w15:docId w15:val="{3309A77C-C350-4FB6-955D-E21EAE736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09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09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09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09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09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09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09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09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09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09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09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09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09A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09A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09A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09A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09A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09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209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09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09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09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09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09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209A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209A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09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09A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09A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209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609</Words>
  <Characters>3475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Leigh Conder</dc:creator>
  <cp:keywords/>
  <dc:description/>
  <cp:lastModifiedBy>Sophia Skilbeck</cp:lastModifiedBy>
  <cp:revision>2</cp:revision>
  <dcterms:created xsi:type="dcterms:W3CDTF">2024-05-03T03:04:00Z</dcterms:created>
  <dcterms:modified xsi:type="dcterms:W3CDTF">2024-05-03T03:04:00Z</dcterms:modified>
</cp:coreProperties>
</file>